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B6F10" w14:textId="77777777" w:rsidR="009546FC" w:rsidRPr="009546FC" w:rsidRDefault="009546FC" w:rsidP="009546FC">
      <w:pPr>
        <w:pStyle w:val="Header"/>
        <w:spacing w:line="240" w:lineRule="auto"/>
        <w:jc w:val="right"/>
        <w:rPr>
          <w:sz w:val="24"/>
          <w:szCs w:val="24"/>
        </w:rPr>
      </w:pPr>
    </w:p>
    <w:p w14:paraId="2123986F" w14:textId="26B6CF57" w:rsidR="00640B60" w:rsidRPr="00640B60" w:rsidRDefault="00640B60" w:rsidP="00640B60">
      <w:pPr>
        <w:tabs>
          <w:tab w:val="left" w:pos="2340"/>
        </w:tabs>
        <w:rPr>
          <w:b/>
          <w:bCs/>
          <w:i/>
          <w:iCs/>
        </w:rPr>
      </w:pPr>
      <w:r w:rsidRPr="00640B60">
        <w:rPr>
          <w:b/>
          <w:bCs/>
        </w:rPr>
        <w:t>Information for Healthcare Professionals in relation to sandwiches being supplied to NHS</w:t>
      </w:r>
      <w:r w:rsidR="008259B5">
        <w:rPr>
          <w:b/>
          <w:bCs/>
        </w:rPr>
        <w:t xml:space="preserve"> </w:t>
      </w:r>
      <w:r w:rsidRPr="00640B60">
        <w:rPr>
          <w:b/>
          <w:bCs/>
        </w:rPr>
        <w:t>Trusts</w:t>
      </w:r>
      <w:r w:rsidR="00E577A3">
        <w:rPr>
          <w:b/>
          <w:bCs/>
        </w:rPr>
        <w:t xml:space="preserve"> for patients</w:t>
      </w:r>
      <w:r w:rsidRPr="00640B60">
        <w:rPr>
          <w:b/>
          <w:bCs/>
        </w:rPr>
        <w:t xml:space="preserve">, that are potentially contaminated with </w:t>
      </w:r>
      <w:r w:rsidRPr="00640B60">
        <w:rPr>
          <w:b/>
          <w:bCs/>
          <w:i/>
          <w:iCs/>
        </w:rPr>
        <w:t>Listeria monocytogenes</w:t>
      </w:r>
    </w:p>
    <w:p w14:paraId="6D9B9E48" w14:textId="77777777" w:rsidR="00640B60" w:rsidRDefault="00640B60" w:rsidP="00640B60">
      <w:pPr>
        <w:tabs>
          <w:tab w:val="left" w:pos="2340"/>
        </w:tabs>
      </w:pPr>
    </w:p>
    <w:p w14:paraId="061426B2" w14:textId="77777777" w:rsidR="00640B60" w:rsidRDefault="00640B60" w:rsidP="00640B60">
      <w:pPr>
        <w:tabs>
          <w:tab w:val="left" w:pos="2340"/>
        </w:tabs>
      </w:pPr>
      <w:r>
        <w:t xml:space="preserve">Everyone involved in the ordering, preparation, and service of foods in the NHS, has a responsibility to follow the highest of hygiene standards. This is particularly vital with </w:t>
      </w:r>
      <w:proofErr w:type="gramStart"/>
      <w:r>
        <w:t>high risk</w:t>
      </w:r>
      <w:proofErr w:type="gramEnd"/>
      <w:r>
        <w:t xml:space="preserve"> foods for our most vulnerable.</w:t>
      </w:r>
    </w:p>
    <w:p w14:paraId="4E1D3BED" w14:textId="77777777" w:rsidR="00640B60" w:rsidRDefault="00640B60" w:rsidP="00640B60">
      <w:pPr>
        <w:tabs>
          <w:tab w:val="left" w:pos="2340"/>
        </w:tabs>
      </w:pPr>
    </w:p>
    <w:p w14:paraId="5290D4F4" w14:textId="77777777" w:rsidR="00640B60" w:rsidRDefault="00640B60" w:rsidP="00640B60">
      <w:pPr>
        <w:tabs>
          <w:tab w:val="left" w:pos="2340"/>
        </w:tabs>
      </w:pPr>
      <w:r>
        <w:t xml:space="preserve">Listeria monocytogenes is a rare cause of food </w:t>
      </w:r>
      <w:proofErr w:type="gramStart"/>
      <w:r>
        <w:t>poisoning</w:t>
      </w:r>
      <w:proofErr w:type="gramEnd"/>
      <w:r>
        <w:t xml:space="preserve"> and a relatively high infectious dose is required to cause illness. The incubation period ranges from 24 hours to 70 days, so while most cases are likely to be seen in the first week, a few may have a delayed presentation.</w:t>
      </w:r>
    </w:p>
    <w:p w14:paraId="19467706" w14:textId="77777777" w:rsidR="00640B60" w:rsidRDefault="00640B60" w:rsidP="00640B60">
      <w:pPr>
        <w:tabs>
          <w:tab w:val="left" w:pos="2340"/>
        </w:tabs>
      </w:pPr>
    </w:p>
    <w:p w14:paraId="3F50E79D" w14:textId="77777777" w:rsidR="00640B60" w:rsidRDefault="00640B60" w:rsidP="00640B60">
      <w:pPr>
        <w:tabs>
          <w:tab w:val="left" w:pos="2340"/>
        </w:tabs>
      </w:pPr>
      <w:r>
        <w:t xml:space="preserve">For most healthy individuals, infection caused by Listeria monocytogenes may be asymptomatic or cause a mild self-limiting diarrhoea and abdominal cramps. No medical interventions are usually required for such cases. Invasive infection is extremely rare in healthy individuals and symptoms suggestive of invasive disease include fever, severe body ache, </w:t>
      </w:r>
      <w:proofErr w:type="gramStart"/>
      <w:r>
        <w:t>headache</w:t>
      </w:r>
      <w:proofErr w:type="gramEnd"/>
      <w:r>
        <w:t xml:space="preserve"> and febrile gastroenteritis. Such cases should be referred to hospital for investigation and diagnosis should include blood culture which is optimal for detection of invasive listeriosis. Invasive disease should be treated according to standard protocols and clinicians may wish to consult their local Microbiologist for advice. </w:t>
      </w:r>
    </w:p>
    <w:p w14:paraId="1DD241FC" w14:textId="77777777" w:rsidR="00640B60" w:rsidRDefault="00640B60" w:rsidP="00640B60">
      <w:pPr>
        <w:tabs>
          <w:tab w:val="left" w:pos="2340"/>
        </w:tabs>
      </w:pPr>
    </w:p>
    <w:p w14:paraId="263A331F" w14:textId="77777777" w:rsidR="00640B60" w:rsidRDefault="00640B60" w:rsidP="00640B60">
      <w:pPr>
        <w:tabs>
          <w:tab w:val="left" w:pos="2340"/>
        </w:tabs>
      </w:pPr>
      <w:r>
        <w:t>Factors placing individuals at high risk of symptomatic or invasive disease include: Pregnancy, extremes of age (neonates, over 60 years of age</w:t>
      </w:r>
      <w:proofErr w:type="gramStart"/>
      <w:r>
        <w:t>),  pre</w:t>
      </w:r>
      <w:proofErr w:type="gramEnd"/>
      <w:r>
        <w:t xml:space="preserve">-existing medical conditions like cancer, HIV,  solid organ or bone marrow transplantation,  diabetes, iron overload, alcoholism, liver or kidney disease or those  who are on immunosuppressive treatment i.e. oral steroids, chemotherapy, anti-TNF and </w:t>
      </w:r>
      <w:proofErr w:type="spellStart"/>
      <w:r>
        <w:t>immunomodulants</w:t>
      </w:r>
      <w:proofErr w:type="spellEnd"/>
      <w:r>
        <w:t xml:space="preserve"> etc.</w:t>
      </w:r>
      <w:r w:rsidRPr="00D72965">
        <w:rPr>
          <w:vertAlign w:val="superscript"/>
        </w:rPr>
        <w:t>1</w:t>
      </w:r>
      <w:r>
        <w:t xml:space="preserve"> </w:t>
      </w:r>
    </w:p>
    <w:p w14:paraId="21C7E62F" w14:textId="77777777" w:rsidR="00640B60" w:rsidRDefault="00640B60" w:rsidP="00640B60">
      <w:pPr>
        <w:tabs>
          <w:tab w:val="left" w:pos="2340"/>
        </w:tabs>
      </w:pPr>
    </w:p>
    <w:p w14:paraId="0CD65C37" w14:textId="77777777" w:rsidR="00640B60" w:rsidRDefault="00640B60" w:rsidP="00640B60">
      <w:pPr>
        <w:tabs>
          <w:tab w:val="left" w:pos="2340"/>
        </w:tabs>
      </w:pPr>
      <w:r>
        <w:t>The clinical presentation of listeriosis in such cases can include sepsis, encephalitis, meningitis, and miscarriage or stillbirth in pregnancy which may or may not be preceded by febrile gastroenteritis. Mortality of invasive disease is 20-30%.</w:t>
      </w:r>
    </w:p>
    <w:p w14:paraId="169C53DE" w14:textId="77777777" w:rsidR="00640B60" w:rsidRDefault="00640B60" w:rsidP="00640B60">
      <w:pPr>
        <w:tabs>
          <w:tab w:val="left" w:pos="2340"/>
        </w:tabs>
      </w:pPr>
    </w:p>
    <w:p w14:paraId="064A33BC" w14:textId="77777777" w:rsidR="00640B60" w:rsidRDefault="00640B60" w:rsidP="00640B60">
      <w:pPr>
        <w:tabs>
          <w:tab w:val="left" w:pos="2340"/>
        </w:tabs>
      </w:pPr>
      <w:r>
        <w:t xml:space="preserve">Symptomatic cases in vulnerable groups should be investigated for invasive disease with blood cultures. Asymptomatic cases from </w:t>
      </w:r>
      <w:proofErr w:type="gramStart"/>
      <w:r>
        <w:t>high risk</w:t>
      </w:r>
      <w:proofErr w:type="gramEnd"/>
      <w:r>
        <w:t xml:space="preserve"> groups should be advised about the potentially long incubation period and advised to watch out for and report even mild symptoms.  </w:t>
      </w:r>
    </w:p>
    <w:p w14:paraId="67AF5CBB" w14:textId="77777777" w:rsidR="00640B60" w:rsidRDefault="00640B60" w:rsidP="00640B60">
      <w:pPr>
        <w:tabs>
          <w:tab w:val="left" w:pos="2340"/>
        </w:tabs>
      </w:pPr>
    </w:p>
    <w:p w14:paraId="4D855CEE" w14:textId="77777777" w:rsidR="00640B60" w:rsidRDefault="00640B60" w:rsidP="00640B60">
      <w:pPr>
        <w:tabs>
          <w:tab w:val="left" w:pos="2340"/>
        </w:tabs>
      </w:pPr>
    </w:p>
    <w:p w14:paraId="104AFEFD" w14:textId="77777777" w:rsidR="00640B60" w:rsidRDefault="00640B60" w:rsidP="00640B60">
      <w:pPr>
        <w:tabs>
          <w:tab w:val="left" w:pos="2340"/>
        </w:tabs>
      </w:pPr>
    </w:p>
    <w:p w14:paraId="2824F24C" w14:textId="77777777" w:rsidR="00640B60" w:rsidRPr="00103BFF" w:rsidRDefault="00640B60" w:rsidP="00640B60">
      <w:pPr>
        <w:tabs>
          <w:tab w:val="left" w:pos="2340"/>
        </w:tabs>
        <w:rPr>
          <w:b/>
          <w:bCs/>
        </w:rPr>
      </w:pPr>
      <w:r w:rsidRPr="00103BFF">
        <w:rPr>
          <w:b/>
          <w:bCs/>
        </w:rPr>
        <w:t>Management:</w:t>
      </w:r>
    </w:p>
    <w:p w14:paraId="65447CD8" w14:textId="77777777" w:rsidR="00640B60" w:rsidRDefault="00640B60" w:rsidP="00640B60">
      <w:pPr>
        <w:tabs>
          <w:tab w:val="left" w:pos="2340"/>
        </w:tabs>
      </w:pPr>
      <w:r>
        <w:t xml:space="preserve">Cases from </w:t>
      </w:r>
      <w:proofErr w:type="gramStart"/>
      <w:r>
        <w:t>high risk</w:t>
      </w:r>
      <w:proofErr w:type="gramEnd"/>
      <w:r>
        <w:t xml:space="preserve"> groups with gastroenteritis without invasive disease can be treated with antibiotics and advice on the most appropriate agent should be discussed with your local Microbiologist. The aim is to reduce risk of invasive disease by reduction of gastrointestinal carriage.</w:t>
      </w:r>
    </w:p>
    <w:p w14:paraId="0F765CE3" w14:textId="77777777" w:rsidR="00640B60" w:rsidRDefault="00640B60" w:rsidP="00640B60">
      <w:pPr>
        <w:tabs>
          <w:tab w:val="left" w:pos="2340"/>
        </w:tabs>
      </w:pPr>
    </w:p>
    <w:p w14:paraId="4AD631F4" w14:textId="77777777" w:rsidR="00640B60" w:rsidRDefault="00640B60" w:rsidP="00640B60">
      <w:pPr>
        <w:tabs>
          <w:tab w:val="left" w:pos="2340"/>
        </w:tabs>
      </w:pPr>
      <w:r>
        <w:t>Cases with invasive disease should be treated with standard protocols with intravenous antibiotics. Clinicians should liaise with their Microbiologists for advice on management of patients admitted with suspected invasive disease or those with risk factors for severe disease. Advice is also available from the duty Medical Microbiologists at Colindale at GBRU@ukhsa.gov.uk</w:t>
      </w:r>
    </w:p>
    <w:p w14:paraId="16472E0B" w14:textId="77777777" w:rsidR="00640B60" w:rsidRDefault="00640B60" w:rsidP="00640B60">
      <w:pPr>
        <w:tabs>
          <w:tab w:val="left" w:pos="2340"/>
        </w:tabs>
      </w:pPr>
    </w:p>
    <w:p w14:paraId="6CD1CD39" w14:textId="77777777" w:rsidR="00640B60" w:rsidRDefault="00640B60" w:rsidP="00640B60">
      <w:pPr>
        <w:tabs>
          <w:tab w:val="left" w:pos="2340"/>
        </w:tabs>
      </w:pPr>
    </w:p>
    <w:p w14:paraId="47BAEF74" w14:textId="77777777" w:rsidR="00640B60" w:rsidRDefault="00640B60" w:rsidP="00640B60">
      <w:pPr>
        <w:tabs>
          <w:tab w:val="left" w:pos="2340"/>
        </w:tabs>
      </w:pPr>
      <w:r>
        <w:t xml:space="preserve"> Further information:</w:t>
      </w:r>
    </w:p>
    <w:p w14:paraId="698116C5" w14:textId="77777777" w:rsidR="00640B60" w:rsidRDefault="00640B60" w:rsidP="00640B60">
      <w:pPr>
        <w:tabs>
          <w:tab w:val="left" w:pos="2340"/>
        </w:tabs>
      </w:pPr>
    </w:p>
    <w:p w14:paraId="0C82B650" w14:textId="18537769" w:rsidR="00A33318" w:rsidRPr="00A33318" w:rsidRDefault="00640B60" w:rsidP="00640B60">
      <w:pPr>
        <w:tabs>
          <w:tab w:val="left" w:pos="2340"/>
        </w:tabs>
      </w:pPr>
      <w:r>
        <w:t xml:space="preserve">1. Scobie A, </w:t>
      </w:r>
      <w:proofErr w:type="spellStart"/>
      <w:r>
        <w:t>Kanagarajah</w:t>
      </w:r>
      <w:proofErr w:type="spellEnd"/>
      <w:r>
        <w:t xml:space="preserve"> S, Harris RJ, Byrne L, Amar C, Grant K, Godbole G. Mortality risk factors for listeriosis - A </w:t>
      </w:r>
      <w:proofErr w:type="gramStart"/>
      <w:r>
        <w:t>10 year</w:t>
      </w:r>
      <w:proofErr w:type="gramEnd"/>
      <w:r>
        <w:t xml:space="preserve"> review of non-pregnancy associated cases in England 2006-2015. J Infect. 2019 Mar;78(3):208-214. </w:t>
      </w:r>
      <w:proofErr w:type="spellStart"/>
      <w:r>
        <w:t>doi</w:t>
      </w:r>
      <w:proofErr w:type="spellEnd"/>
      <w:r>
        <w:t xml:space="preserve">: 10.1016/j.jinf.2018.11.007. </w:t>
      </w:r>
      <w:proofErr w:type="spellStart"/>
      <w:r>
        <w:t>Epub</w:t>
      </w:r>
      <w:proofErr w:type="spellEnd"/>
      <w:r>
        <w:t xml:space="preserve"> 2018 Dec 5. PMID: 30528872.</w:t>
      </w:r>
    </w:p>
    <w:sectPr w:rsidR="00A33318" w:rsidRPr="00A33318" w:rsidSect="00771D8F">
      <w:footerReference w:type="default" r:id="rId6"/>
      <w:headerReference w:type="first" r:id="rId7"/>
      <w:footerReference w:type="first" r:id="rId8"/>
      <w:pgSz w:w="11906" w:h="16838"/>
      <w:pgMar w:top="859" w:right="1021" w:bottom="1440" w:left="1021" w:header="6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3DC7" w14:textId="77777777" w:rsidR="002D5B89" w:rsidRDefault="002D5B89" w:rsidP="00761F90">
      <w:r>
        <w:separator/>
      </w:r>
    </w:p>
  </w:endnote>
  <w:endnote w:type="continuationSeparator" w:id="0">
    <w:p w14:paraId="2787B5C2" w14:textId="77777777" w:rsidR="002D5B89" w:rsidRDefault="002D5B89" w:rsidP="0076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F46E" w14:textId="77777777" w:rsidR="00E028B1" w:rsidRPr="00E028B1" w:rsidRDefault="00E028B1" w:rsidP="00E028B1">
    <w:pPr>
      <w:pStyle w:val="Footer"/>
      <w:jc w:val="center"/>
      <w:rPr>
        <w:sz w:val="20"/>
        <w:szCs w:val="20"/>
      </w:rPr>
    </w:pPr>
    <w:r w:rsidRPr="001E6B8B">
      <w:rPr>
        <w:sz w:val="20"/>
        <w:szCs w:val="20"/>
      </w:rPr>
      <w:fldChar w:fldCharType="begin"/>
    </w:r>
    <w:r w:rsidRPr="001E6B8B">
      <w:rPr>
        <w:sz w:val="20"/>
        <w:szCs w:val="20"/>
      </w:rPr>
      <w:instrText xml:space="preserve"> PAGE   \* MERGEFORMAT </w:instrText>
    </w:r>
    <w:r w:rsidRPr="001E6B8B">
      <w:rPr>
        <w:sz w:val="20"/>
        <w:szCs w:val="20"/>
      </w:rPr>
      <w:fldChar w:fldCharType="separate"/>
    </w:r>
    <w:r w:rsidR="00F00B4D">
      <w:rPr>
        <w:noProof/>
        <w:sz w:val="20"/>
        <w:szCs w:val="20"/>
      </w:rPr>
      <w:t>2</w:t>
    </w:r>
    <w:r w:rsidRPr="001E6B8B">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B204" w14:textId="77777777" w:rsidR="001E6B8B" w:rsidRPr="001E6B8B" w:rsidRDefault="001E6B8B" w:rsidP="001E6B8B">
    <w:pPr>
      <w:pStyle w:val="Footer"/>
      <w:jc w:val="center"/>
      <w:rPr>
        <w:sz w:val="20"/>
        <w:szCs w:val="20"/>
      </w:rPr>
    </w:pPr>
    <w:r w:rsidRPr="001E6B8B">
      <w:rPr>
        <w:sz w:val="20"/>
        <w:szCs w:val="20"/>
      </w:rPr>
      <w:fldChar w:fldCharType="begin"/>
    </w:r>
    <w:r w:rsidRPr="001E6B8B">
      <w:rPr>
        <w:sz w:val="20"/>
        <w:szCs w:val="20"/>
      </w:rPr>
      <w:instrText xml:space="preserve"> PAGE   \* MERGEFORMAT </w:instrText>
    </w:r>
    <w:r w:rsidRPr="001E6B8B">
      <w:rPr>
        <w:sz w:val="20"/>
        <w:szCs w:val="20"/>
      </w:rPr>
      <w:fldChar w:fldCharType="separate"/>
    </w:r>
    <w:r w:rsidR="00883FCA">
      <w:rPr>
        <w:noProof/>
        <w:sz w:val="20"/>
        <w:szCs w:val="20"/>
      </w:rPr>
      <w:t>1</w:t>
    </w:r>
    <w:r w:rsidRPr="001E6B8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8C001" w14:textId="77777777" w:rsidR="002D5B89" w:rsidRDefault="002D5B89" w:rsidP="00761F90">
      <w:r>
        <w:separator/>
      </w:r>
    </w:p>
  </w:footnote>
  <w:footnote w:type="continuationSeparator" w:id="0">
    <w:p w14:paraId="0CE45A71" w14:textId="77777777" w:rsidR="002D5B89" w:rsidRDefault="002D5B89" w:rsidP="00761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35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807"/>
    </w:tblGrid>
    <w:tr w:rsidR="003D43A1" w14:paraId="0CFAEC57" w14:textId="77777777" w:rsidTr="00D60CEF">
      <w:trPr>
        <w:trHeight w:val="2152"/>
      </w:trPr>
      <w:tc>
        <w:tcPr>
          <w:tcW w:w="2547" w:type="dxa"/>
        </w:tcPr>
        <w:p w14:paraId="0F638C40" w14:textId="77777777" w:rsidR="003D43A1" w:rsidRDefault="003D43A1" w:rsidP="00751EFA">
          <w:pPr>
            <w:widowControl w:val="0"/>
            <w:snapToGrid w:val="0"/>
            <w:spacing w:line="240" w:lineRule="auto"/>
            <w:rPr>
              <w:rStyle w:val="Hyperlink"/>
            </w:rPr>
          </w:pPr>
          <w:r>
            <w:rPr>
              <w:noProof/>
            </w:rPr>
            <w:drawing>
              <wp:inline distT="0" distB="0" distL="0" distR="0" wp14:anchorId="0F0B73FC" wp14:editId="456D5699">
                <wp:extent cx="1295400" cy="1156086"/>
                <wp:effectExtent l="0" t="0" r="0" b="0"/>
                <wp:docPr id="1" name="Picture 1" descr="UK Health Security Agenc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K Health Security Agency logo">
                          <a:extLst>
                            <a:ext uri="{C183D7F6-B498-43B3-948B-1728B52AA6E4}">
                              <adec:decorative xmlns:adec="http://schemas.microsoft.com/office/drawing/2017/decorative" val="0"/>
                            </a:ext>
                          </a:extLst>
                        </pic:cNvPr>
                        <pic:cNvPicPr/>
                      </pic:nvPicPr>
                      <pic:blipFill rotWithShape="1">
                        <a:blip r:embed="rId1"/>
                        <a:srcRect t="6057"/>
                        <a:stretch/>
                      </pic:blipFill>
                      <pic:spPr bwMode="auto">
                        <a:xfrm>
                          <a:off x="0" y="0"/>
                          <a:ext cx="1296000" cy="1156621"/>
                        </a:xfrm>
                        <a:prstGeom prst="rect">
                          <a:avLst/>
                        </a:prstGeom>
                        <a:ln>
                          <a:noFill/>
                        </a:ln>
                        <a:extLst>
                          <a:ext uri="{53640926-AAD7-44D8-BBD7-CCE9431645EC}">
                            <a14:shadowObscured xmlns:a14="http://schemas.microsoft.com/office/drawing/2010/main"/>
                          </a:ext>
                        </a:extLst>
                      </pic:spPr>
                    </pic:pic>
                  </a:graphicData>
                </a:graphic>
              </wp:inline>
            </w:drawing>
          </w:r>
        </w:p>
      </w:tc>
      <w:tc>
        <w:tcPr>
          <w:tcW w:w="7807" w:type="dxa"/>
          <w:tcMar>
            <w:top w:w="227" w:type="dxa"/>
          </w:tcMar>
        </w:tcPr>
        <w:p w14:paraId="44E6F403" w14:textId="29988ECD" w:rsidR="003D43A1" w:rsidRPr="009546FC" w:rsidRDefault="003D43A1" w:rsidP="00751EFA">
          <w:pPr>
            <w:pStyle w:val="Header"/>
            <w:widowControl w:val="0"/>
            <w:snapToGrid w:val="0"/>
            <w:spacing w:line="240" w:lineRule="auto"/>
            <w:jc w:val="right"/>
            <w:rPr>
              <w:sz w:val="24"/>
              <w:szCs w:val="24"/>
            </w:rPr>
          </w:pPr>
        </w:p>
        <w:p w14:paraId="6B2BDE45" w14:textId="77777777" w:rsidR="003D43A1" w:rsidRDefault="003D43A1" w:rsidP="00751EFA">
          <w:pPr>
            <w:widowControl w:val="0"/>
            <w:snapToGrid w:val="0"/>
            <w:spacing w:line="240" w:lineRule="auto"/>
            <w:rPr>
              <w:rStyle w:val="Hyperlink"/>
            </w:rPr>
          </w:pPr>
        </w:p>
      </w:tc>
    </w:tr>
  </w:tbl>
  <w:p w14:paraId="11496F0B" w14:textId="77777777" w:rsidR="004A1F86" w:rsidRDefault="004A1F86" w:rsidP="00751EFA">
    <w:pPr>
      <w:pStyle w:val="Header"/>
      <w:widowControl w:val="0"/>
      <w:snapToGrid w:val="0"/>
      <w:spacing w:line="240" w:lineRule="auto"/>
      <w:ind w:left="-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89"/>
    <w:rsid w:val="0001276E"/>
    <w:rsid w:val="000742C2"/>
    <w:rsid w:val="00096FFC"/>
    <w:rsid w:val="000B0E5B"/>
    <w:rsid w:val="000C50FB"/>
    <w:rsid w:val="000D5B3F"/>
    <w:rsid w:val="000E193A"/>
    <w:rsid w:val="000F1EC7"/>
    <w:rsid w:val="00103BFF"/>
    <w:rsid w:val="001239E7"/>
    <w:rsid w:val="00141CFB"/>
    <w:rsid w:val="00151D61"/>
    <w:rsid w:val="00154084"/>
    <w:rsid w:val="00175906"/>
    <w:rsid w:val="0019479C"/>
    <w:rsid w:val="001B70F7"/>
    <w:rsid w:val="001E0D14"/>
    <w:rsid w:val="001E6B8B"/>
    <w:rsid w:val="001F5221"/>
    <w:rsid w:val="002111C8"/>
    <w:rsid w:val="002377E4"/>
    <w:rsid w:val="00294B61"/>
    <w:rsid w:val="002B284A"/>
    <w:rsid w:val="002C073D"/>
    <w:rsid w:val="002C2E25"/>
    <w:rsid w:val="002D5B89"/>
    <w:rsid w:val="002F0649"/>
    <w:rsid w:val="00335D50"/>
    <w:rsid w:val="00344594"/>
    <w:rsid w:val="00394631"/>
    <w:rsid w:val="003960B5"/>
    <w:rsid w:val="003A000A"/>
    <w:rsid w:val="003C26D9"/>
    <w:rsid w:val="003D43A1"/>
    <w:rsid w:val="003F071F"/>
    <w:rsid w:val="003F66F5"/>
    <w:rsid w:val="00411FD9"/>
    <w:rsid w:val="00415F3E"/>
    <w:rsid w:val="00425B35"/>
    <w:rsid w:val="004977CA"/>
    <w:rsid w:val="004A1F86"/>
    <w:rsid w:val="004C0114"/>
    <w:rsid w:val="004C465B"/>
    <w:rsid w:val="004D2AEE"/>
    <w:rsid w:val="004F4DED"/>
    <w:rsid w:val="005351D2"/>
    <w:rsid w:val="00541DE6"/>
    <w:rsid w:val="005629A6"/>
    <w:rsid w:val="00576873"/>
    <w:rsid w:val="005A405C"/>
    <w:rsid w:val="005B0D4C"/>
    <w:rsid w:val="005C6114"/>
    <w:rsid w:val="00636A73"/>
    <w:rsid w:val="00640B60"/>
    <w:rsid w:val="00647944"/>
    <w:rsid w:val="00651A56"/>
    <w:rsid w:val="0066498D"/>
    <w:rsid w:val="006778CF"/>
    <w:rsid w:val="006913B5"/>
    <w:rsid w:val="006B1EEC"/>
    <w:rsid w:val="006C4481"/>
    <w:rsid w:val="006D3FD0"/>
    <w:rsid w:val="006E4B6A"/>
    <w:rsid w:val="00713811"/>
    <w:rsid w:val="007403F6"/>
    <w:rsid w:val="0075105C"/>
    <w:rsid w:val="00751EFA"/>
    <w:rsid w:val="00757153"/>
    <w:rsid w:val="00761F90"/>
    <w:rsid w:val="00771D8F"/>
    <w:rsid w:val="007C460C"/>
    <w:rsid w:val="007D6212"/>
    <w:rsid w:val="007E6EB2"/>
    <w:rsid w:val="008117A0"/>
    <w:rsid w:val="008259B5"/>
    <w:rsid w:val="00850E60"/>
    <w:rsid w:val="0085134A"/>
    <w:rsid w:val="00864BA5"/>
    <w:rsid w:val="00872AE3"/>
    <w:rsid w:val="00883FCA"/>
    <w:rsid w:val="00893C64"/>
    <w:rsid w:val="008A077F"/>
    <w:rsid w:val="008A273F"/>
    <w:rsid w:val="008C6229"/>
    <w:rsid w:val="008D6BA4"/>
    <w:rsid w:val="008E4A33"/>
    <w:rsid w:val="008E651E"/>
    <w:rsid w:val="008E7A6E"/>
    <w:rsid w:val="008F3AC3"/>
    <w:rsid w:val="008F4286"/>
    <w:rsid w:val="00900854"/>
    <w:rsid w:val="00936E35"/>
    <w:rsid w:val="009546FC"/>
    <w:rsid w:val="009A05E6"/>
    <w:rsid w:val="009A34E5"/>
    <w:rsid w:val="00A33318"/>
    <w:rsid w:val="00AA30B4"/>
    <w:rsid w:val="00AD2877"/>
    <w:rsid w:val="00AD68F5"/>
    <w:rsid w:val="00AE00DF"/>
    <w:rsid w:val="00AE5B31"/>
    <w:rsid w:val="00B61BCE"/>
    <w:rsid w:val="00B84DFE"/>
    <w:rsid w:val="00BA3F10"/>
    <w:rsid w:val="00BA65FE"/>
    <w:rsid w:val="00BE2052"/>
    <w:rsid w:val="00BE3227"/>
    <w:rsid w:val="00BF13D8"/>
    <w:rsid w:val="00BF28E3"/>
    <w:rsid w:val="00C62D09"/>
    <w:rsid w:val="00C7434B"/>
    <w:rsid w:val="00CB5ABF"/>
    <w:rsid w:val="00CC1EF2"/>
    <w:rsid w:val="00CD17CE"/>
    <w:rsid w:val="00CD39A5"/>
    <w:rsid w:val="00CF588A"/>
    <w:rsid w:val="00D24ECB"/>
    <w:rsid w:val="00D363A1"/>
    <w:rsid w:val="00D60CEF"/>
    <w:rsid w:val="00D72965"/>
    <w:rsid w:val="00DB087C"/>
    <w:rsid w:val="00DB3804"/>
    <w:rsid w:val="00E028B1"/>
    <w:rsid w:val="00E05401"/>
    <w:rsid w:val="00E147BB"/>
    <w:rsid w:val="00E208D7"/>
    <w:rsid w:val="00E43488"/>
    <w:rsid w:val="00E577A3"/>
    <w:rsid w:val="00E617F4"/>
    <w:rsid w:val="00E70004"/>
    <w:rsid w:val="00E7584C"/>
    <w:rsid w:val="00E84FFE"/>
    <w:rsid w:val="00E8776E"/>
    <w:rsid w:val="00E972D7"/>
    <w:rsid w:val="00EA6CEA"/>
    <w:rsid w:val="00EB260A"/>
    <w:rsid w:val="00EB2FAE"/>
    <w:rsid w:val="00EB3E86"/>
    <w:rsid w:val="00EB7402"/>
    <w:rsid w:val="00EE6BD5"/>
    <w:rsid w:val="00EF23FC"/>
    <w:rsid w:val="00F00B4D"/>
    <w:rsid w:val="00F07CC4"/>
    <w:rsid w:val="00F25961"/>
    <w:rsid w:val="00F4704D"/>
    <w:rsid w:val="00F56AF9"/>
    <w:rsid w:val="00F767B1"/>
    <w:rsid w:val="00FB145A"/>
    <w:rsid w:val="00FC4434"/>
    <w:rsid w:val="00FD0D30"/>
    <w:rsid w:val="00FD2CF3"/>
    <w:rsid w:val="00FF33C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659B9"/>
  <w15:chartTrackingRefBased/>
  <w15:docId w15:val="{D547A5DE-8D8E-4483-8000-BDD2D986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F90"/>
    <w:pPr>
      <w:spacing w:line="320" w:lineRule="exact"/>
    </w:pPr>
  </w:style>
  <w:style w:type="paragraph" w:styleId="Heading1">
    <w:name w:val="heading 1"/>
    <w:aliases w:val="Subject line"/>
    <w:basedOn w:val="Normal"/>
    <w:next w:val="Normal"/>
    <w:link w:val="Heading1Char"/>
    <w:uiPriority w:val="99"/>
    <w:qFormat/>
    <w:rsid w:val="00294B61"/>
    <w:pPr>
      <w:outlineLvl w:val="0"/>
    </w:pPr>
    <w:rPr>
      <w:b/>
    </w:rPr>
  </w:style>
  <w:style w:type="paragraph" w:styleId="Heading2">
    <w:name w:val="heading 2"/>
    <w:basedOn w:val="Normal"/>
    <w:next w:val="Normal"/>
    <w:link w:val="Heading2Char"/>
    <w:uiPriority w:val="99"/>
    <w:qFormat/>
    <w:rsid w:val="00294B61"/>
    <w:pPr>
      <w:keepNext/>
      <w:keepLines/>
      <w:spacing w:before="20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line Char"/>
    <w:link w:val="Heading1"/>
    <w:uiPriority w:val="99"/>
    <w:rsid w:val="00294B61"/>
    <w:rPr>
      <w:rFonts w:ascii="Arial" w:hAnsi="Arial" w:cs="Times New Roman"/>
      <w:b/>
      <w:sz w:val="24"/>
    </w:rPr>
  </w:style>
  <w:style w:type="character" w:customStyle="1" w:styleId="Heading2Char">
    <w:name w:val="Heading 2 Char"/>
    <w:link w:val="Heading2"/>
    <w:uiPriority w:val="99"/>
    <w:semiHidden/>
    <w:rsid w:val="00294B61"/>
    <w:rPr>
      <w:rFonts w:ascii="Arial" w:hAnsi="Arial" w:cs="Times New Roman"/>
      <w:b/>
      <w:bCs/>
      <w:sz w:val="26"/>
    </w:rPr>
  </w:style>
  <w:style w:type="paragraph" w:styleId="Header">
    <w:name w:val="header"/>
    <w:aliases w:val="Addressee list"/>
    <w:basedOn w:val="Normal"/>
    <w:link w:val="HeaderChar"/>
    <w:uiPriority w:val="99"/>
    <w:rsid w:val="00096FFC"/>
    <w:pPr>
      <w:spacing w:line="200" w:lineRule="exact"/>
    </w:pPr>
    <w:rPr>
      <w:sz w:val="16"/>
      <w:szCs w:val="16"/>
    </w:rPr>
  </w:style>
  <w:style w:type="character" w:customStyle="1" w:styleId="HeaderChar">
    <w:name w:val="Header Char"/>
    <w:aliases w:val="Addressee list Char"/>
    <w:link w:val="Header"/>
    <w:uiPriority w:val="99"/>
    <w:rsid w:val="00096FFC"/>
    <w:rPr>
      <w:rFonts w:ascii="Arial" w:hAnsi="Arial" w:cs="Times New Roman"/>
      <w:sz w:val="16"/>
    </w:rPr>
  </w:style>
  <w:style w:type="paragraph" w:styleId="Footer">
    <w:name w:val="footer"/>
    <w:basedOn w:val="Normal"/>
    <w:link w:val="FooterChar"/>
    <w:uiPriority w:val="99"/>
    <w:rsid w:val="00096FFC"/>
    <w:pPr>
      <w:tabs>
        <w:tab w:val="center" w:pos="4513"/>
        <w:tab w:val="right" w:pos="9026"/>
      </w:tabs>
      <w:spacing w:line="240" w:lineRule="auto"/>
    </w:pPr>
  </w:style>
  <w:style w:type="character" w:customStyle="1" w:styleId="FooterChar">
    <w:name w:val="Footer Char"/>
    <w:link w:val="Footer"/>
    <w:uiPriority w:val="99"/>
    <w:rsid w:val="00096FFC"/>
    <w:rPr>
      <w:rFonts w:ascii="Arial"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4BA5"/>
    <w:rPr>
      <w:rFonts w:ascii="Tahoma" w:hAnsi="Tahoma" w:cs="Tahoma"/>
      <w:sz w:val="16"/>
      <w:lang w:val="en-US"/>
    </w:rPr>
  </w:style>
  <w:style w:type="character" w:styleId="Emphasis">
    <w:name w:val="Emphasis"/>
    <w:uiPriority w:val="99"/>
    <w:qFormat/>
    <w:rsid w:val="00294B61"/>
    <w:rPr>
      <w:rFonts w:ascii="Arial" w:hAnsi="Arial" w:cs="Times New Roman"/>
      <w:i/>
      <w:iCs/>
    </w:rPr>
  </w:style>
  <w:style w:type="character" w:styleId="BookTitle">
    <w:name w:val="Book Title"/>
    <w:uiPriority w:val="99"/>
    <w:rsid w:val="00BE2052"/>
    <w:rPr>
      <w:rFonts w:ascii="Arial" w:hAnsi="Arial" w:cs="Times New Roman"/>
      <w:b/>
      <w:bCs/>
      <w:smallCaps/>
      <w:spacing w:val="5"/>
    </w:rPr>
  </w:style>
  <w:style w:type="character" w:styleId="Hyperlink">
    <w:name w:val="Hyperlink"/>
    <w:uiPriority w:val="99"/>
    <w:rsid w:val="00FD2CF3"/>
    <w:rPr>
      <w:rFonts w:cs="Times New Roman"/>
      <w:color w:val="0000FF"/>
      <w:u w:val="single"/>
    </w:rPr>
  </w:style>
  <w:style w:type="character" w:styleId="UnresolvedMention">
    <w:name w:val="Unresolved Mention"/>
    <w:basedOn w:val="DefaultParagraphFont"/>
    <w:uiPriority w:val="99"/>
    <w:semiHidden/>
    <w:unhideWhenUsed/>
    <w:rsid w:val="00E208D7"/>
    <w:rPr>
      <w:color w:val="605E5C"/>
      <w:shd w:val="clear" w:color="auto" w:fill="E1DFDD"/>
    </w:rPr>
  </w:style>
  <w:style w:type="character" w:styleId="FollowedHyperlink">
    <w:name w:val="FollowedHyperlink"/>
    <w:basedOn w:val="DefaultParagraphFont"/>
    <w:uiPriority w:val="99"/>
    <w:semiHidden/>
    <w:unhideWhenUsed/>
    <w:rsid w:val="004C0114"/>
    <w:rPr>
      <w:color w:val="954F72" w:themeColor="followedHyperlink"/>
      <w:u w:val="single"/>
    </w:rPr>
  </w:style>
  <w:style w:type="table" w:styleId="TableGrid">
    <w:name w:val="Table Grid"/>
    <w:basedOn w:val="TableNormal"/>
    <w:uiPriority w:val="59"/>
    <w:rsid w:val="003D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uri.godbole\Downloads\ukhsa-letterhea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ukhsa-letterhead-template</Template>
  <TotalTime>1</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Letterhead with fold lines</vt:lpstr>
    </vt:vector>
  </TitlesOfParts>
  <Company/>
  <LinksUpToDate>false</LinksUpToDate>
  <CharactersWithSpaces>3297</CharactersWithSpaces>
  <SharedDoc>false</SharedDoc>
  <HyperlinkBase/>
  <HLinks>
    <vt:vector size="12" baseType="variant">
      <vt:variant>
        <vt:i4>8061006</vt:i4>
      </vt:variant>
      <vt:variant>
        <vt:i4>3</vt:i4>
      </vt:variant>
      <vt:variant>
        <vt:i4>0</vt:i4>
      </vt:variant>
      <vt:variant>
        <vt:i4>5</vt:i4>
      </vt:variant>
      <vt:variant>
        <vt:lpwstr>mailto:employee.email@phe.gov.uk</vt:lpwstr>
      </vt:variant>
      <vt:variant>
        <vt:lpwstr/>
      </vt:variant>
      <vt:variant>
        <vt:i4>524298</vt:i4>
      </vt:variant>
      <vt:variant>
        <vt:i4>0</vt:i4>
      </vt:variant>
      <vt:variant>
        <vt:i4>0</vt:i4>
      </vt:variant>
      <vt:variant>
        <vt:i4>5</vt:i4>
      </vt:variant>
      <vt:variant>
        <vt:lpwstr>http://www.gov.uk/phe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fold lines</dc:title>
  <dc:subject/>
  <dc:creator>Gauri Godbole</dc:creator>
  <cp:keywords/>
  <cp:lastModifiedBy>Gauri Godbole</cp:lastModifiedBy>
  <cp:revision>4</cp:revision>
  <dcterms:created xsi:type="dcterms:W3CDTF">2024-06-07T19:08:00Z</dcterms:created>
  <dcterms:modified xsi:type="dcterms:W3CDTF">2024-06-07T19:09:00Z</dcterms:modified>
</cp:coreProperties>
</file>